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0" w:name="step4template"/>
      <w:bookmarkStart w:id="1" w:name="_Toc493174955"/>
      <w:r w:rsidRPr="000505CE">
        <w:rPr>
          <w:sz w:val="28"/>
        </w:rPr>
        <w:t xml:space="preserve">Step 4: </w:t>
      </w:r>
      <w:bookmarkEnd w:id="0"/>
      <w:r w:rsidR="00E54516" w:rsidRPr="00E54516">
        <w:rPr>
          <w:sz w:val="28"/>
        </w:rPr>
        <w:t>Structure the Agenda and Activities</w:t>
      </w:r>
      <w:bookmarkEnd w:id="1"/>
    </w:p>
    <w:p w:rsidR="00312432" w:rsidRDefault="00312432" w:rsidP="00312432">
      <w:pPr>
        <w:pStyle w:val="CNSCSub-SectionTitle"/>
        <w:ind w:left="-144"/>
      </w:pPr>
      <w:r>
        <w:t>The Session</w:t>
      </w:r>
    </w:p>
    <w:p w:rsidR="00312432" w:rsidRPr="00BD778D" w:rsidRDefault="00312432" w:rsidP="00143E3E">
      <w:pPr>
        <w:spacing w:before="240" w:after="120"/>
        <w:rPr>
          <w:rFonts w:cs="Times New Roman"/>
          <w:b/>
        </w:rPr>
      </w:pPr>
      <w:r w:rsidRPr="00BD778D">
        <w:rPr>
          <w:rFonts w:cs="Times New Roman"/>
          <w:b/>
        </w:rPr>
        <w:t>The Body of the Session: Learning Activities</w:t>
      </w:r>
    </w:p>
    <w:p w:rsidR="0054113C" w:rsidRDefault="00143E3E" w:rsidP="00802AE6">
      <w:pPr>
        <w:spacing w:after="120"/>
        <w:rPr>
          <w:rFonts w:eastAsia="Times New Roman" w:cs="Times New Roman"/>
          <w:color w:val="000000"/>
          <w:szCs w:val="24"/>
          <w:lang w:val="en-US"/>
        </w:rPr>
      </w:pPr>
      <w:r>
        <w:rPr>
          <w:rFonts w:cs="Arial"/>
          <w:lang w:eastAsia="en-CA"/>
        </w:rPr>
        <w:t xml:space="preserve">The following is a list of different activities you may want to use. </w:t>
      </w:r>
      <w:r w:rsidR="00BC1FCB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>You can consider each activity according to its benefits, how participants take in information</w:t>
      </w:r>
      <w:r w:rsidR="00BC1FCB">
        <w:rPr>
          <w:rFonts w:cs="Arial"/>
          <w:lang w:eastAsia="en-CA"/>
        </w:rPr>
        <w:t xml:space="preserve"> and</w:t>
      </w:r>
      <w:r>
        <w:rPr>
          <w:rFonts w:cs="Arial"/>
          <w:lang w:eastAsia="en-CA"/>
        </w:rPr>
        <w:t xml:space="preserve"> approach learning, </w:t>
      </w:r>
      <w:r w:rsidR="00BC1FCB">
        <w:rPr>
          <w:rFonts w:cs="Arial"/>
          <w:lang w:eastAsia="en-CA"/>
        </w:rPr>
        <w:t>to</w:t>
      </w:r>
      <w:r>
        <w:rPr>
          <w:rFonts w:cs="Arial"/>
          <w:lang w:eastAsia="en-CA"/>
        </w:rPr>
        <w:t xml:space="preserve"> transform their experience into something useful. </w:t>
      </w:r>
      <w:r w:rsidR="0030086A">
        <w:rPr>
          <w:rFonts w:cs="Arial"/>
          <w:lang w:eastAsia="en-CA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 xml:space="preserve">One size does not fit all – people learn in very different ways! </w:t>
      </w:r>
      <w:r w:rsidR="0030086A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 xml:space="preserve">Your training activities need to </w:t>
      </w:r>
      <w:r w:rsidR="0030086A">
        <w:rPr>
          <w:rFonts w:eastAsia="Times New Roman" w:cs="Times New Roman"/>
          <w:color w:val="000000"/>
          <w:szCs w:val="24"/>
          <w:lang w:val="en-US"/>
        </w:rPr>
        <w:t>reflect these differences</w:t>
      </w:r>
      <w:r w:rsidR="00F75108">
        <w:rPr>
          <w:rFonts w:eastAsia="Times New Roman" w:cs="Times New Roman"/>
          <w:color w:val="000000"/>
          <w:szCs w:val="24"/>
          <w:vertAlign w:val="superscript"/>
          <w:lang w:val="en-US"/>
        </w:rPr>
        <w:t>5</w:t>
      </w:r>
      <w:r w:rsidR="00173223">
        <w:rPr>
          <w:rFonts w:eastAsia="Times New Roman" w:cs="Times New Roman"/>
          <w:color w:val="000000"/>
          <w:szCs w:val="24"/>
          <w:lang w:val="en-US"/>
        </w:rPr>
        <w:t>.</w:t>
      </w:r>
    </w:p>
    <w:tbl>
      <w:tblPr>
        <w:tblStyle w:val="TableGrid12"/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1"/>
        <w:gridCol w:w="2305"/>
        <w:gridCol w:w="3045"/>
        <w:gridCol w:w="1317"/>
        <w:gridCol w:w="1169"/>
        <w:gridCol w:w="1313"/>
      </w:tblGrid>
      <w:tr w:rsidR="00143E3E" w:rsidRPr="00D86707" w:rsidTr="00E3451A">
        <w:trPr>
          <w:trHeight w:val="360"/>
          <w:tblHeader/>
          <w:jc w:val="center"/>
        </w:trPr>
        <w:tc>
          <w:tcPr>
            <w:tcW w:w="931" w:type="dxa"/>
            <w:shd w:val="clear" w:color="auto" w:fill="FDB714"/>
            <w:tcMar>
              <w:left w:w="86" w:type="dxa"/>
              <w:right w:w="86" w:type="dxa"/>
            </w:tcMar>
            <w:vAlign w:val="center"/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/>
                <w:szCs w:val="22"/>
                <w:lang w:val="en-US"/>
              </w:rPr>
            </w:pPr>
            <w:r w:rsidRPr="000A671E">
              <w:rPr>
                <w:rFonts w:ascii="Arial Rounded MT Bold" w:hAnsi="Arial Rounded MT Bold"/>
                <w:szCs w:val="22"/>
                <w:lang w:val="en-US"/>
              </w:rPr>
              <w:t>% Agenda</w:t>
            </w:r>
          </w:p>
        </w:tc>
        <w:tc>
          <w:tcPr>
            <w:tcW w:w="2305" w:type="dxa"/>
            <w:shd w:val="clear" w:color="auto" w:fill="FDB714"/>
            <w:tcMar>
              <w:left w:w="86" w:type="dxa"/>
              <w:right w:w="86" w:type="dxa"/>
            </w:tcMar>
            <w:vAlign w:val="center"/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/>
                <w:szCs w:val="22"/>
                <w:lang w:val="en-US"/>
              </w:rPr>
            </w:pPr>
            <w:r w:rsidRPr="000A671E">
              <w:rPr>
                <w:rFonts w:ascii="Arial Rounded MT Bold" w:hAnsi="Arial Rounded MT Bold"/>
                <w:szCs w:val="22"/>
                <w:lang w:val="en-US"/>
              </w:rPr>
              <w:t>Activity</w:t>
            </w:r>
          </w:p>
        </w:tc>
        <w:tc>
          <w:tcPr>
            <w:tcW w:w="3045" w:type="dxa"/>
            <w:shd w:val="clear" w:color="auto" w:fill="FDB714"/>
            <w:tcMar>
              <w:left w:w="86" w:type="dxa"/>
              <w:right w:w="86" w:type="dxa"/>
            </w:tcMar>
            <w:vAlign w:val="center"/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/>
                <w:szCs w:val="22"/>
                <w:lang w:val="en-US"/>
              </w:rPr>
            </w:pPr>
            <w:r w:rsidRPr="000A671E">
              <w:rPr>
                <w:rFonts w:ascii="Arial Rounded MT Bold" w:hAnsi="Arial Rounded MT Bold"/>
                <w:szCs w:val="22"/>
                <w:lang w:val="en-US"/>
              </w:rPr>
              <w:t>Benefit</w:t>
            </w:r>
          </w:p>
        </w:tc>
        <w:tc>
          <w:tcPr>
            <w:tcW w:w="1317" w:type="dxa"/>
            <w:shd w:val="clear" w:color="auto" w:fill="FDB714"/>
            <w:tcMar>
              <w:left w:w="86" w:type="dxa"/>
              <w:right w:w="86" w:type="dxa"/>
            </w:tcMar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Visual, Auditory, Kinesthetic</w:t>
            </w:r>
          </w:p>
        </w:tc>
        <w:tc>
          <w:tcPr>
            <w:tcW w:w="1169" w:type="dxa"/>
            <w:shd w:val="clear" w:color="auto" w:fill="FDB714"/>
            <w:tcMar>
              <w:left w:w="86" w:type="dxa"/>
              <w:right w:w="86" w:type="dxa"/>
            </w:tcMar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Learning Approach</w:t>
            </w:r>
          </w:p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RO, AE*</w:t>
            </w:r>
          </w:p>
        </w:tc>
        <w:tc>
          <w:tcPr>
            <w:tcW w:w="1313" w:type="dxa"/>
            <w:shd w:val="clear" w:color="auto" w:fill="FDB714"/>
            <w:tcMar>
              <w:left w:w="86" w:type="dxa"/>
              <w:right w:w="86" w:type="dxa"/>
            </w:tcMar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Transform Experience</w:t>
            </w:r>
          </w:p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AC, CE**</w:t>
            </w:r>
          </w:p>
        </w:tc>
      </w:tr>
      <w:tr w:rsidR="00143E3E" w:rsidRPr="00D86707" w:rsidTr="00E3451A">
        <w:trPr>
          <w:trHeight w:val="453"/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Listening to speakers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Deliver content</w:t>
            </w:r>
            <w:r w:rsidR="000A671E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rich monologue, some reflection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Question and Answer (Q&amp;A)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Individual interaction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trHeight w:val="565"/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Small group discussions (with group participant exchange)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Many can discuss</w:t>
            </w:r>
            <w:r w:rsidRPr="00D86707">
              <w:rPr>
                <w:rFonts w:eastAsiaTheme="minorEastAsia"/>
                <w:kern w:val="24"/>
                <w:sz w:val="24"/>
                <w:szCs w:val="24"/>
              </w:rPr>
              <w:t xml:space="preserve"> thoughts, feelings, facts, observations from a variety of perspectives</w:t>
            </w:r>
            <w:r>
              <w:rPr>
                <w:rFonts w:eastAsiaTheme="minorEastAsia"/>
                <w:kern w:val="24"/>
                <w:sz w:val="24"/>
                <w:szCs w:val="24"/>
              </w:rPr>
              <w:t>; build on each other’s contributions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RO, 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AC, 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Plenary discussion</w:t>
            </w:r>
          </w:p>
        </w:tc>
        <w:tc>
          <w:tcPr>
            <w:tcW w:w="304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Individual interaction</w:t>
            </w:r>
          </w:p>
        </w:tc>
        <w:tc>
          <w:tcPr>
            <w:tcW w:w="1317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</w:t>
            </w:r>
          </w:p>
        </w:tc>
        <w:tc>
          <w:tcPr>
            <w:tcW w:w="1169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Surfaces individual thoughts, feelings, values</w:t>
            </w:r>
            <w:r>
              <w:rPr>
                <w:sz w:val="24"/>
                <w:szCs w:val="24"/>
                <w:lang w:val="en-US"/>
              </w:rPr>
              <w:t>; can compare new input to previously held views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Data interpretation</w:t>
            </w:r>
          </w:p>
        </w:tc>
        <w:tc>
          <w:tcPr>
            <w:tcW w:w="304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Critical thinking</w:t>
            </w:r>
          </w:p>
        </w:tc>
        <w:tc>
          <w:tcPr>
            <w:tcW w:w="1317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K</w:t>
            </w:r>
          </w:p>
        </w:tc>
        <w:tc>
          <w:tcPr>
            <w:tcW w:w="1169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Decision making</w:t>
            </w:r>
          </w:p>
        </w:tc>
        <w:tc>
          <w:tcPr>
            <w:tcW w:w="3045" w:type="dxa"/>
            <w:vAlign w:val="center"/>
          </w:tcPr>
          <w:p w:rsidR="00143E3E" w:rsidRPr="00D86707" w:rsidRDefault="00143E3E" w:rsidP="00E3451A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D86707">
              <w:rPr>
                <w:rFonts w:eastAsiaTheme="minorEastAsia"/>
                <w:kern w:val="24"/>
                <w:sz w:val="24"/>
                <w:szCs w:val="24"/>
              </w:rPr>
              <w:t>Focuses on what to do next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rPr>
                <w:rFonts w:eastAsiaTheme="minorEastAsia" w:cs="Arial"/>
                <w:kern w:val="24"/>
                <w:sz w:val="22"/>
              </w:rPr>
            </w:pPr>
            <w:r w:rsidRPr="000A671E">
              <w:rPr>
                <w:rFonts w:eastAsiaTheme="minorEastAsia" w:cs="Arial"/>
                <w:kern w:val="24"/>
                <w:sz w:val="22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rPr>
                <w:rFonts w:eastAsiaTheme="minorEastAsia" w:cs="Arial"/>
                <w:kern w:val="24"/>
                <w:sz w:val="22"/>
              </w:rPr>
            </w:pPr>
            <w:r w:rsidRPr="000A671E">
              <w:rPr>
                <w:rFonts w:eastAsiaTheme="minorEastAsia" w:cs="Arial"/>
                <w:kern w:val="24"/>
                <w:sz w:val="22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rPr>
                <w:rFonts w:eastAsiaTheme="minorEastAsia" w:cs="Arial"/>
                <w:kern w:val="24"/>
                <w:sz w:val="22"/>
              </w:rPr>
            </w:pPr>
            <w:r w:rsidRPr="000A671E">
              <w:rPr>
                <w:rFonts w:eastAsiaTheme="minorEastAsia" w:cs="Arial"/>
                <w:kern w:val="24"/>
                <w:sz w:val="22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Watching media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Content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rich monologue, some reflection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Reading text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Content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rich monologue, some reflection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Simulations, model building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</w:rPr>
              <w:t>Sparks active experimentation</w:t>
            </w:r>
            <w:r>
              <w:rPr>
                <w:sz w:val="24"/>
                <w:szCs w:val="24"/>
              </w:rPr>
              <w:t>; surfaces unresolved issues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</w:rPr>
            </w:pPr>
            <w:r w:rsidRPr="000A671E">
              <w:rPr>
                <w:rFonts w:cs="Arial"/>
                <w:sz w:val="22"/>
              </w:rPr>
              <w:t>V, A, K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</w:rPr>
            </w:pPr>
            <w:r w:rsidRPr="000A671E">
              <w:rPr>
                <w:rFonts w:cs="Arial"/>
                <w:sz w:val="22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</w:rPr>
            </w:pPr>
            <w:r w:rsidRPr="000A671E">
              <w:rPr>
                <w:rFonts w:cs="Arial"/>
                <w:sz w:val="22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Brainstorming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Surfaces ideas without judgment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Working groups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Many contribute to an applied discussion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CE</w:t>
            </w:r>
          </w:p>
        </w:tc>
      </w:tr>
      <w:tr w:rsidR="00143E3E" w:rsidRPr="00D86707" w:rsidTr="00E3451A">
        <w:trPr>
          <w:trHeight w:val="750"/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Case studies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Many contribute to an applied discussion; develops problem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solving skills; writing notes</w:t>
            </w:r>
            <w:r w:rsidRPr="00D86707">
              <w:rPr>
                <w:color w:val="000000"/>
                <w:sz w:val="24"/>
                <w:szCs w:val="24"/>
              </w:rPr>
              <w:t xml:space="preserve"> can help people  to make sense of ideas or to remember key points 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autoSpaceDE w:val="0"/>
              <w:autoSpaceDN w:val="0"/>
              <w:adjustRightInd w:val="0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K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autoSpaceDE w:val="0"/>
              <w:autoSpaceDN w:val="0"/>
              <w:adjustRightInd w:val="0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autoSpaceDE w:val="0"/>
              <w:autoSpaceDN w:val="0"/>
              <w:adjustRightInd w:val="0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Practice contingency “what if” scenarios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Can practice real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life situations in low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risk setting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A, K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Summarize progress/</w:t>
            </w:r>
            <w:r w:rsidR="00601DF2">
              <w:rPr>
                <w:sz w:val="24"/>
                <w:szCs w:val="24"/>
                <w:lang w:val="en-US"/>
              </w:rPr>
              <w:t xml:space="preserve"> </w:t>
            </w:r>
            <w:r w:rsidRPr="00D86707">
              <w:rPr>
                <w:sz w:val="24"/>
                <w:szCs w:val="24"/>
                <w:lang w:val="en-US"/>
              </w:rPr>
              <w:t>results to date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Enhances critical thinking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</w:tbl>
    <w:p w:rsidR="00BC1612" w:rsidRDefault="00BC1612" w:rsidP="00BC1612">
      <w:p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*RO – reflective observation; AE – active experimentation</w:t>
      </w:r>
    </w:p>
    <w:p w:rsidR="00BC1612" w:rsidRDefault="00BC1612" w:rsidP="00BC1612">
      <w:p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**AC – abstract conceptualization; CE – concrete experience</w:t>
      </w:r>
    </w:p>
    <w:p w:rsidR="0054113C" w:rsidRDefault="0054113C" w:rsidP="0054113C">
      <w:pPr>
        <w:spacing w:after="120"/>
        <w:contextualSpacing/>
        <w:rPr>
          <w:rFonts w:cs="Times New Roman"/>
          <w:szCs w:val="24"/>
        </w:rPr>
      </w:pPr>
    </w:p>
    <w:p w:rsidR="00312432" w:rsidRPr="00B750DA" w:rsidRDefault="00312432" w:rsidP="000A6314">
      <w:pPr>
        <w:numPr>
          <w:ilvl w:val="0"/>
          <w:numId w:val="17"/>
        </w:numPr>
        <w:spacing w:after="120"/>
        <w:ind w:hanging="357"/>
        <w:contextualSpacing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>Tips:</w:t>
      </w:r>
    </w:p>
    <w:p w:rsidR="00312432" w:rsidRPr="003A02B9" w:rsidRDefault="00312432" w:rsidP="000A6314">
      <w:pPr>
        <w:pStyle w:val="ListParagraph"/>
        <w:numPr>
          <w:ilvl w:val="0"/>
          <w:numId w:val="18"/>
        </w:numPr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>Confirm the variety of activities in your agenda to keep all participants engaged.</w:t>
      </w:r>
      <w:r w:rsidR="001A5570">
        <w:rPr>
          <w:rFonts w:cs="Times New Roman"/>
          <w:szCs w:val="24"/>
        </w:rPr>
        <w:t xml:space="preserve"> </w:t>
      </w:r>
      <w:r w:rsidRPr="000A6314">
        <w:rPr>
          <w:rFonts w:cs="Times New Roman"/>
          <w:szCs w:val="24"/>
        </w:rPr>
        <w:t xml:space="preserve"> This encourages active participation and promotes ownership of session outcomes.</w:t>
      </w:r>
    </w:p>
    <w:p w:rsidR="00312432" w:rsidRPr="00411E98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 xml:space="preserve">What activities look most/least interesting for your group? </w:t>
      </w:r>
      <w:r w:rsidR="001A5570">
        <w:rPr>
          <w:rFonts w:cs="Times New Roman"/>
          <w:szCs w:val="24"/>
        </w:rPr>
        <w:t xml:space="preserve"> </w:t>
      </w:r>
      <w:r w:rsidRPr="000A6314">
        <w:rPr>
          <w:rFonts w:cs="Times New Roman"/>
          <w:szCs w:val="24"/>
        </w:rPr>
        <w:t>Most/least challenging?</w:t>
      </w:r>
    </w:p>
    <w:p w:rsidR="00312432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Check</w:t>
      </w:r>
      <w:r w:rsidRPr="0008712A">
        <w:rPr>
          <w:rFonts w:cs="Times New Roman"/>
          <w:szCs w:val="24"/>
        </w:rPr>
        <w:t xml:space="preserve"> specific adaptations to the online learning environment</w:t>
      </w:r>
      <w:r w:rsidR="00F75108">
        <w:rPr>
          <w:rFonts w:cs="Times New Roman"/>
          <w:szCs w:val="24"/>
          <w:vertAlign w:val="superscript"/>
        </w:rPr>
        <w:t>5</w:t>
      </w:r>
      <w:r w:rsidR="001A5570">
        <w:rPr>
          <w:rFonts w:cs="Times New Roman"/>
          <w:szCs w:val="24"/>
        </w:rPr>
        <w:t>.</w:t>
      </w:r>
    </w:p>
    <w:p w:rsidR="00312432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 xml:space="preserve">Ensure </w:t>
      </w:r>
      <w:r>
        <w:rPr>
          <w:rFonts w:cs="Times New Roman"/>
          <w:szCs w:val="24"/>
        </w:rPr>
        <w:t>a learning outcome is the focus of each part of the agenda</w:t>
      </w:r>
      <w:r w:rsidR="001A5570">
        <w:rPr>
          <w:rFonts w:cs="Times New Roman"/>
          <w:szCs w:val="24"/>
        </w:rPr>
        <w:t>.</w:t>
      </w:r>
    </w:p>
    <w:p w:rsidR="00312432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Identify activities that will address each outcome and different participants’ learning preferences</w:t>
      </w:r>
      <w:r w:rsidR="001A5570">
        <w:rPr>
          <w:rFonts w:cs="Times New Roman"/>
          <w:szCs w:val="24"/>
        </w:rPr>
        <w:t>.</w:t>
      </w:r>
    </w:p>
    <w:p w:rsidR="00312432" w:rsidRPr="000A6314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 xml:space="preserve">Check that the time allocations </w:t>
      </w:r>
      <w:r w:rsidR="001A5570">
        <w:rPr>
          <w:rFonts w:cs="Times New Roman"/>
          <w:szCs w:val="24"/>
        </w:rPr>
        <w:t xml:space="preserve">are </w:t>
      </w:r>
      <w:r w:rsidRPr="000A6314">
        <w:rPr>
          <w:rFonts w:cs="Times New Roman"/>
          <w:szCs w:val="24"/>
        </w:rPr>
        <w:t xml:space="preserve">reasonable, </w:t>
      </w:r>
      <w:r w:rsidR="00F22EB0">
        <w:rPr>
          <w:rFonts w:cs="Times New Roman"/>
          <w:szCs w:val="24"/>
        </w:rPr>
        <w:t>e.g.</w:t>
      </w:r>
      <w:r w:rsidR="001A5570">
        <w:rPr>
          <w:rFonts w:cs="Times New Roman"/>
          <w:szCs w:val="24"/>
        </w:rPr>
        <w:t>,</w:t>
      </w:r>
      <w:r w:rsidRPr="000A6314">
        <w:rPr>
          <w:rFonts w:cs="Times New Roman"/>
          <w:szCs w:val="24"/>
        </w:rPr>
        <w:t xml:space="preserve"> small group discussions are more inclusive and interactive, and may take longer than a large group presentation</w:t>
      </w:r>
      <w:r w:rsidR="001A5570">
        <w:rPr>
          <w:rFonts w:cs="Times New Roman"/>
          <w:szCs w:val="24"/>
        </w:rPr>
        <w:t>.</w:t>
      </w:r>
    </w:p>
    <w:p w:rsidR="00312432" w:rsidRPr="003A02B9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3A02B9">
        <w:rPr>
          <w:rFonts w:cs="Times New Roman"/>
          <w:szCs w:val="24"/>
        </w:rPr>
        <w:t>Arrange for human and technical resources,</w:t>
      </w:r>
      <w:r w:rsidR="00F22EB0">
        <w:rPr>
          <w:rFonts w:cs="Times New Roman"/>
          <w:szCs w:val="24"/>
        </w:rPr>
        <w:t xml:space="preserve"> e.g.</w:t>
      </w:r>
      <w:r w:rsidRPr="003A02B9">
        <w:rPr>
          <w:rFonts w:cs="Times New Roman"/>
          <w:szCs w:val="24"/>
        </w:rPr>
        <w:t xml:space="preserve">, </w:t>
      </w:r>
      <w:r w:rsidRPr="000A6314">
        <w:rPr>
          <w:rFonts w:cs="Times New Roman"/>
          <w:szCs w:val="24"/>
        </w:rPr>
        <w:t>expert presentations by internal or external speakers (face-to-face, videoconference) who can explain complex concepts in a compelling way</w:t>
      </w:r>
      <w:r w:rsidR="001A5570">
        <w:rPr>
          <w:rFonts w:cs="Times New Roman"/>
          <w:szCs w:val="24"/>
        </w:rPr>
        <w:t>.</w:t>
      </w:r>
    </w:p>
    <w:p w:rsidR="00312432" w:rsidRPr="000A6314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>Create materials that support learning at each stage of the session and afterwards in the workplace; determine how they will be distributed</w:t>
      </w:r>
      <w:r w:rsidR="00F22EB0">
        <w:rPr>
          <w:rFonts w:cs="Times New Roman"/>
          <w:szCs w:val="24"/>
        </w:rPr>
        <w:t>.</w:t>
      </w:r>
    </w:p>
    <w:p w:rsidR="00312432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Identify who </w:t>
      </w:r>
      <w:r w:rsidRPr="000A6314">
        <w:rPr>
          <w:rFonts w:cs="Times New Roman"/>
          <w:szCs w:val="24"/>
        </w:rPr>
        <w:t>is the best person to present/facilitate each piece (e.g., expert who can explain complex concepts in a compelling way for content sections, someone with good faci</w:t>
      </w:r>
      <w:r w:rsidR="00F22EB0">
        <w:rPr>
          <w:rFonts w:cs="Times New Roman"/>
          <w:szCs w:val="24"/>
        </w:rPr>
        <w:t>litation skills for group work).</w:t>
      </w:r>
    </w:p>
    <w:p w:rsidR="00312432" w:rsidRPr="00247B9B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>Build in “flex” points where you can change formats or cut something out (e.g., provide it as a handout rather than presenting) to catch up if running over time</w:t>
      </w:r>
      <w:r w:rsidR="00F22EB0">
        <w:rPr>
          <w:rFonts w:cs="Times New Roman"/>
          <w:szCs w:val="24"/>
        </w:rPr>
        <w:t>.</w:t>
      </w:r>
    </w:p>
    <w:p w:rsidR="00312432" w:rsidRPr="00601DF2" w:rsidRDefault="00312432" w:rsidP="00601DF2">
      <w:pPr>
        <w:rPr>
          <w:rFonts w:cs="Times New Roman"/>
          <w:szCs w:val="24"/>
        </w:rPr>
      </w:pPr>
      <w:bookmarkStart w:id="2" w:name="_GoBack"/>
      <w:bookmarkEnd w:id="2"/>
    </w:p>
    <w:sectPr w:rsidR="00312432" w:rsidRPr="00601DF2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7F73A15D" wp14:editId="120263B3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32B3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16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F0ED-B0C0-4773-9BF1-4BC6B15B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2017-09-14T22:15:00Z</dcterms:created>
  <dcterms:modified xsi:type="dcterms:W3CDTF">2017-09-14T22:15:00Z</dcterms:modified>
</cp:coreProperties>
</file>